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C3542" w14:textId="01443D7E" w:rsidR="00AC21BF" w:rsidRPr="00AC21BF" w:rsidRDefault="00AC21BF" w:rsidP="00AC21BF">
      <w:r>
        <w:t xml:space="preserve">MONS1000 </w:t>
      </w:r>
      <w:r>
        <w:rPr>
          <w:rFonts w:ascii="Times New Roman" w:hAnsi="Times New Roman" w:cs="Times New Roman"/>
          <w:b/>
          <w:bCs/>
          <w:color w:val="000000"/>
        </w:rPr>
        <w:t>Kriittinen diskurssintutkimus</w:t>
      </w:r>
      <w:r w:rsidRPr="00AC21BF">
        <w:rPr>
          <w:rFonts w:ascii="Times New Roman" w:hAnsi="Times New Roman" w:cs="Times New Roman"/>
          <w:b/>
          <w:bCs/>
          <w:color w:val="000000"/>
        </w:rPr>
        <w:t xml:space="preserve">, 5 op Arviointikriteerit, lukuvuosi 2017–2018 </w:t>
      </w:r>
    </w:p>
    <w:p w14:paraId="55F3F2AB" w14:textId="35A2D6A2" w:rsidR="0015135C" w:rsidRPr="0064313D" w:rsidRDefault="00AC21BF" w:rsidP="0015135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2"/>
          <w:szCs w:val="22"/>
        </w:rPr>
      </w:pPr>
      <w:r w:rsidRPr="0064313D">
        <w:rPr>
          <w:rFonts w:ascii="Times New Roman" w:hAnsi="Times New Roman" w:cs="Times New Roman"/>
          <w:color w:val="000000"/>
          <w:sz w:val="22"/>
          <w:szCs w:val="22"/>
        </w:rPr>
        <w:t xml:space="preserve">Arvosana 2 täyttää kaikki arvosanan 1 kriteerit ja joiltain osin arvosanan 3 kriteerit. Arvosana 4 täyttää kaikki arvosanan 3 kriteerit ja joiltain osin arvosanan 5 kriteerit. Hylätty oppimistehtävä tai tenttisuoritus ei täytä kaikkia arvosanan 1 kriteereitä. </w:t>
      </w:r>
      <w:r w:rsidR="0015135C" w:rsidRPr="0064313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W w:w="5527" w:type="pct"/>
        <w:jc w:val="center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443"/>
        <w:gridCol w:w="2652"/>
        <w:gridCol w:w="2695"/>
        <w:gridCol w:w="2835"/>
      </w:tblGrid>
      <w:tr w:rsidR="002166E6" w:rsidRPr="0015135C" w14:paraId="109F217D" w14:textId="77777777" w:rsidTr="002166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17E43" w14:textId="77777777" w:rsidR="0015135C" w:rsidRPr="0015135C" w:rsidRDefault="0015135C" w:rsidP="0015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3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Osaamistavoite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DD6A5" w14:textId="6C5B6DBD" w:rsidR="0015135C" w:rsidRPr="0015135C" w:rsidRDefault="0015135C" w:rsidP="0015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3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(välttävä)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205694" w14:textId="77777777" w:rsidR="0015135C" w:rsidRPr="0015135C" w:rsidRDefault="0015135C" w:rsidP="0015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3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(hyvä) 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7E3E9" w14:textId="4FE57727" w:rsidR="0015135C" w:rsidRPr="0015135C" w:rsidRDefault="0015135C" w:rsidP="0015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drawing>
                <wp:inline distT="0" distB="0" distL="0" distR="0" wp14:anchorId="12C6FC44" wp14:editId="36C2161F">
                  <wp:extent cx="7620" cy="7620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drawing>
                <wp:inline distT="0" distB="0" distL="0" distR="0" wp14:anchorId="76C87AD1" wp14:editId="764FB5EA">
                  <wp:extent cx="7620" cy="7620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13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(erinomainen) </w:t>
            </w:r>
          </w:p>
        </w:tc>
      </w:tr>
      <w:tr w:rsidR="002166E6" w:rsidRPr="0015135C" w14:paraId="78206643" w14:textId="77777777" w:rsidTr="00E14B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68"/>
          <w:jc w:val="center"/>
        </w:trPr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46298" w14:textId="3123B6AA" w:rsidR="0015135C" w:rsidRPr="0015135C" w:rsidRDefault="00B669D4" w:rsidP="0015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Ymmärtää diskurssin roolin yhteiskunnallisissa kysymyksissä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7452C" w14:textId="3DD42154" w:rsidR="0015135C" w:rsidRPr="0015135C" w:rsidRDefault="00851EC8" w:rsidP="00851EC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Opiskelija osoittaa kapeaa ja suppeaa ymmärrystä diskurssin roolista yhteiskunnallisissa kysymyksissä</w:t>
            </w:r>
            <w:r w:rsidR="0083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58EA9" w14:textId="7590B848" w:rsidR="0015135C" w:rsidRPr="0015135C" w:rsidRDefault="0062632C" w:rsidP="0015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Opiskelija osoittaa monipuolista ja toimivasti perusteltua ymmärrystä diskurssin roolista yhteiskunnallisissa kysymyksissä. 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ED5E5" w14:textId="30C14E4C" w:rsidR="0015135C" w:rsidRPr="0015135C" w:rsidRDefault="0062632C" w:rsidP="008362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Opiskelija osoittaa oivaltaa ja erinomaisesti perusteltua ymmärrystä diskurssin roolista yhteiskunnallisissa kysymyksissä. Hän soveltaa </w:t>
            </w:r>
            <w:r w:rsidR="0083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 kytkee asiantuntevasti ja vakuuttavasti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oppimaansa </w:t>
            </w:r>
            <w:r w:rsidR="0083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 tutkimukseen ja yhteiskunnallisiin kysymyksiin.</w:t>
            </w:r>
          </w:p>
        </w:tc>
      </w:tr>
      <w:tr w:rsidR="002166E6" w:rsidRPr="0015135C" w14:paraId="2D085FF9" w14:textId="77777777" w:rsidTr="00E14B1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11"/>
          <w:jc w:val="center"/>
        </w:trPr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021C3" w14:textId="6D4CF45A" w:rsidR="0015135C" w:rsidRPr="0015135C" w:rsidRDefault="00B669D4" w:rsidP="0015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Tuntee kriittisen diskurssintutkimuksen keskeisiä lähestymistapoja, käsitteitä ja metodeja 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BEE69" w14:textId="763E8E21" w:rsidR="0015135C" w:rsidRPr="0015135C" w:rsidRDefault="0015135C" w:rsidP="008362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Opiskelija osoittaa ymmärtävänsä joitain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kriittisen </w:t>
            </w: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diskur</w:t>
            </w:r>
            <w:r w:rsidR="00EC7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ssintutkimuksen keskeisiä lähestymistapoja</w:t>
            </w:r>
            <w:r w:rsidR="0083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käsitteitä ja metodeja.</w:t>
            </w: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Opiskelija on tutustunut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kurssimateriaaliin, </w:t>
            </w: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</w:t>
            </w:r>
            <w:r w:rsidR="00CA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 perehtyminen on pinnallista</w:t>
            </w:r>
            <w:r w:rsidR="00EC7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6114D" w14:textId="315E2AEB" w:rsidR="0015135C" w:rsidRPr="0015135C" w:rsidRDefault="0015135C" w:rsidP="00EC7C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Opiskelija</w:t>
            </w:r>
            <w:r w:rsidR="00E14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osoittaa ymmärtävänsä pääpiir</w:t>
            </w: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teissään </w:t>
            </w:r>
            <w:r w:rsidR="00EC7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kriittisen </w:t>
            </w: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diskurssintutkimuksen </w:t>
            </w:r>
            <w:r w:rsidR="00EC7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lähestymistapoja, käsitteitä ja metodeja. Hän osaa hyödyntää kurssimateriaalia monipuolisesti ja perustellusti. 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2AB09" w14:textId="04A14162" w:rsidR="0015135C" w:rsidRPr="0015135C" w:rsidRDefault="00EC7CEE" w:rsidP="0015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Opiskelija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osoittaa ymmärtävänsä </w:t>
            </w:r>
            <w:r w:rsidR="00015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asiantuntevasti ja syvällisesti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kriittisen </w:t>
            </w: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diskurssintutkimuksen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lähestymistapoja, käsitteitä ja metodeja. Hän </w:t>
            </w:r>
            <w:r w:rsidR="00015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osaa hyödyntää ja soveltaa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kurssimateriaalia </w:t>
            </w:r>
            <w:r w:rsidR="00015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oivaltavasti ja taitavasti perustellen, eri lähestymistapoja, käsitteitä ja metodeja toisiinsa suhteuttaen. </w:t>
            </w:r>
          </w:p>
        </w:tc>
      </w:tr>
      <w:tr w:rsidR="002166E6" w:rsidRPr="0015135C" w14:paraId="674AE29E" w14:textId="77777777" w:rsidTr="002166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695EB" w14:textId="15737245" w:rsidR="00E14B1C" w:rsidRDefault="00B669D4" w:rsidP="00B669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Osaa hyödyntää </w:t>
            </w:r>
            <w:r w:rsidRPr="00B669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i-FI"/>
              </w:rPr>
              <w:t>kriittistä diskurssintutkimusta yhteiskunnallisesti relevanttien kysymysten tarkastelussa</w:t>
            </w:r>
            <w:r w:rsidRPr="003A6F56">
              <w:rPr>
                <w:rFonts w:ascii="Times New Roman" w:eastAsia="Times New Roman" w:hAnsi="Times New Roman" w:cs="Times New Roman"/>
                <w:lang w:eastAsia="fi-FI"/>
              </w:rPr>
              <w:t xml:space="preserve"> </w:t>
            </w:r>
            <w:r w:rsidRPr="003A6F56">
              <w:rPr>
                <w:rFonts w:ascii="Times New Roman" w:eastAsia="Times New Roman" w:hAnsi="Times New Roman" w:cs="Times New Roman"/>
                <w:lang w:eastAsia="fi-FI"/>
              </w:rPr>
              <w:br/>
            </w:r>
          </w:p>
          <w:p w14:paraId="058F01F1" w14:textId="77777777" w:rsidR="00E14B1C" w:rsidRPr="00E14B1C" w:rsidRDefault="00E14B1C" w:rsidP="00E1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034CE" w14:textId="77777777" w:rsidR="00E14B1C" w:rsidRPr="00E14B1C" w:rsidRDefault="00E14B1C" w:rsidP="00E1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BA6A5" w14:textId="77777777" w:rsidR="00E14B1C" w:rsidRPr="00E14B1C" w:rsidRDefault="00E14B1C" w:rsidP="00E1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37AC4" w14:textId="1574B26E" w:rsidR="00E14B1C" w:rsidRDefault="00E14B1C" w:rsidP="00E1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BE45B" w14:textId="77777777" w:rsidR="00E14B1C" w:rsidRPr="00E14B1C" w:rsidRDefault="00E14B1C" w:rsidP="00E14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686E0" w14:textId="77777777" w:rsidR="0015135C" w:rsidRPr="00E14B1C" w:rsidRDefault="0015135C" w:rsidP="00E1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FBDCA" w14:textId="6A6C34D3" w:rsidR="000153E9" w:rsidRDefault="000153E9" w:rsidP="0015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Opiskelija määrittelee kriittisen diskurssintutkimuksen käsitteitä puutteellisesti tai pinnallisesti. </w:t>
            </w:r>
            <w:r w:rsidR="00216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Soveltaminen on pinnallista tai puuttuu.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Yhteys yhteiskunnallisten kysymysten tarkasteluun on mekaaninen tai epäselvä. </w:t>
            </w:r>
            <w:r w:rsidR="00216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Esimerkit puuttuvat tai ovat epäselviä.  </w:t>
            </w:r>
          </w:p>
          <w:p w14:paraId="55C236A1" w14:textId="7E88C80C" w:rsidR="0015135C" w:rsidRPr="0015135C" w:rsidRDefault="0015135C" w:rsidP="0015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6ABA9" w14:textId="38BBBDF7" w:rsidR="0015135C" w:rsidRPr="0015135C" w:rsidRDefault="00216E60" w:rsidP="00216E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Opiskelija määrittelee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 soveltaa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kriittisen diskurssintutkimuksen käsitteitä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perustellusti ja monipuolisesti.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Yhteys yhteiskunnallisten kysymysten tarkasteluun 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selvä ja perusteltu. Valitut esimerkit</w:t>
            </w:r>
            <w:r w:rsidR="0015135C"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soveltuva</w:t>
            </w:r>
            <w:r w:rsidR="002166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 hyvin käsitteiden hyödyntämi</w:t>
            </w:r>
            <w:r w:rsidR="0015135C"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yhteiskunnallisten kysymysten tarkastelussa</w:t>
            </w:r>
            <w:r w:rsidR="00B54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E43ED1" w14:textId="02E57B67" w:rsidR="0015135C" w:rsidRPr="0015135C" w:rsidRDefault="00216E60" w:rsidP="0015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Opiskelija määrittelee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 soveltaa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kriittisen diskurssintutkimuk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sen käsitteitä asiantuntevasti, toisiinsa suhteuttaen ja oivaltavasti.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Yhteys yhteiskunnallisten kysymysten tarkasteluun 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monipuolinen ja vakuuttava.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Valitut esimerkit</w:t>
            </w: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soveltuvat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erinomaisesti käsitteiden hyödyntämi</w:t>
            </w: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yhteiskunnallisten kysymysten tarkastelussa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Esimerkit osoittavat relevanttien yhteiskunnallisten kysymysten ymmärtämisestä kriittisen diskurssintutkimuksen näkökulmasta.</w:t>
            </w:r>
          </w:p>
        </w:tc>
      </w:tr>
      <w:tr w:rsidR="002166E6" w:rsidRPr="0015135C" w14:paraId="4CED6880" w14:textId="77777777" w:rsidTr="002166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4A9A1" w14:textId="44E75595" w:rsidR="0015135C" w:rsidRPr="002166E6" w:rsidRDefault="002166E6" w:rsidP="0015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lang w:eastAsia="fi-FI"/>
              </w:rPr>
              <w:t>o</w:t>
            </w:r>
            <w:r w:rsidR="00B669D4" w:rsidRPr="002166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i-FI"/>
              </w:rPr>
              <w:t>n harjaantunut tutkimustaidoissa ja kehittänyt ongelmaratkaisutaitojaan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28286" w14:textId="50913B4C" w:rsidR="0015135C" w:rsidRPr="0015135C" w:rsidRDefault="00B5472B" w:rsidP="0015135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Opiskelija työskentelee itsenäisesti ja ryhmässä annettujen ohjeiden mukaisesti mukaan lukien aikataulu. Vaaditut tehtävät on tehty ohjeiden mukaisesti, mutta kurssimateriaali on hyödynnetty suppeasti, mekaanisesti tai pinnallisesti.  Oma reflektiivinen ote puuttuu. Yhteys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tutkimuskontekstiin on heikko tai epäselvä. Tehtävät ovat kielellisesti ja tyyliltään pääosin tieteellisen genren mukaisia. </w:t>
            </w:r>
          </w:p>
        </w:tc>
        <w:tc>
          <w:tcPr>
            <w:tcW w:w="1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3B3F7" w14:textId="7FEDF7DE" w:rsidR="00B5472B" w:rsidRDefault="00B5472B" w:rsidP="00B547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Opiskelija työskentelee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itsenäisesti ja ryhmässä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ohjeiden mukaisesti, pitää aikatauluista kiinni ja kantaa vastuuta tiimityöskentelystä. Tehtävissä opiskelija soveltaa konkreettisesti ja omakohtaisesti oppimaansa tutkimuskontekstiin. </w:t>
            </w:r>
            <w:r w:rsidR="0084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Tehtävät ovat kielellisesti ja tyyliltään johdonmukaisia ja selkeästi </w:t>
            </w:r>
            <w:r w:rsidR="0084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tieteellisen genren mukaisia. </w:t>
            </w:r>
          </w:p>
          <w:p w14:paraId="48170308" w14:textId="77777777" w:rsidR="00B5472B" w:rsidRDefault="00B5472B" w:rsidP="00B547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462080" w14:textId="12DA934A" w:rsidR="0015135C" w:rsidRPr="0015135C" w:rsidRDefault="00B5472B" w:rsidP="00B547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14C00" w14:textId="70FA109C" w:rsidR="0015135C" w:rsidRPr="0015135C" w:rsidRDefault="0015135C" w:rsidP="006431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57675377" wp14:editId="14EE975A">
                  <wp:extent cx="7620" cy="7620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Opiskelija työskentelee itsenäisesti ja ryhmässä ohjeiden mukaisesti, pitää aikatauluista kiinni ja </w:t>
            </w:r>
            <w:r w:rsidR="0084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edistää rakentavasti ja monipuolisesti tiimin työskentelyä.  </w:t>
            </w:r>
            <w:r w:rsidR="0084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Tehtävissä opiskelija soveltaa omakohtaisesti </w:t>
            </w:r>
            <w:r w:rsidR="0084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 </w:t>
            </w:r>
            <w:r w:rsidR="00643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kriittisesti </w:t>
            </w:r>
            <w:r w:rsidR="0084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arvioiden </w:t>
            </w:r>
            <w:r w:rsidR="0084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oppimaansa tutkimuskontekstiin. Tehtävät ovat kielellisesti ja tyyliltään </w:t>
            </w:r>
            <w:r w:rsidR="00643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huoliteltuja ja taitavasti jäsenneltyjä, ja ne osoittavat kriittisen tiedontuottamisen ja tieteellisen genren erinomaista hallintaa. </w:t>
            </w:r>
          </w:p>
        </w:tc>
      </w:tr>
    </w:tbl>
    <w:p w14:paraId="17AF8084" w14:textId="77777777" w:rsidR="00AC21BF" w:rsidRDefault="00AC21BF"/>
    <w:sectPr w:rsidR="00AC21BF" w:rsidSect="00F070E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2B"/>
    <w:rsid w:val="000153E9"/>
    <w:rsid w:val="0015135C"/>
    <w:rsid w:val="002166E6"/>
    <w:rsid w:val="00216E60"/>
    <w:rsid w:val="00284791"/>
    <w:rsid w:val="0062632C"/>
    <w:rsid w:val="0064313D"/>
    <w:rsid w:val="00836279"/>
    <w:rsid w:val="0084030A"/>
    <w:rsid w:val="00851EC8"/>
    <w:rsid w:val="008826F6"/>
    <w:rsid w:val="00893D2B"/>
    <w:rsid w:val="00AC21BF"/>
    <w:rsid w:val="00B5472B"/>
    <w:rsid w:val="00B669D4"/>
    <w:rsid w:val="00CA39DB"/>
    <w:rsid w:val="00E14B1C"/>
    <w:rsid w:val="00EC7CEE"/>
    <w:rsid w:val="00F0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256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452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Pietikainen</dc:creator>
  <cp:keywords/>
  <dc:description/>
  <cp:lastModifiedBy>Sari Pietikainen</cp:lastModifiedBy>
  <cp:revision>8</cp:revision>
  <dcterms:created xsi:type="dcterms:W3CDTF">2017-10-15T06:52:00Z</dcterms:created>
  <dcterms:modified xsi:type="dcterms:W3CDTF">2017-10-15T08:23:00Z</dcterms:modified>
</cp:coreProperties>
</file>